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keepLines/>
        <w:numPr>
          <w:ilvl w:val="0"/>
          <w:numId w:val="0"/>
        </w:numPr>
        <w:spacing w:before="240" w:after="240"/>
        <w:jc w:val="both"/>
        <w:outlineLvl w:val="0"/>
        <w:rPr>
          <w:rFonts w:ascii="Arial" w:hAnsi="Arial" w:eastAsia="" w:cs="" w:cstheme="majorBidi" w:eastAsiaTheme="majorEastAsia"/>
          <w:b/>
          <w:sz w:val="24"/>
          <w:szCs w:val="32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-507365</wp:posOffset>
            </wp:positionV>
            <wp:extent cx="2311400" cy="1479550"/>
            <wp:effectExtent l="0" t="0" r="0" b="0"/>
            <wp:wrapNone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spacing w:before="240" w:after="240"/>
        <w:jc w:val="both"/>
        <w:outlineLvl w:val="0"/>
        <w:rPr>
          <w:rFonts w:ascii="Arial" w:hAnsi="Arial" w:eastAsia="" w:cs="" w:cstheme="majorBidi" w:eastAsiaTheme="majorEastAsia"/>
          <w:b/>
          <w:sz w:val="24"/>
          <w:szCs w:val="32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spacing w:before="240" w:after="240"/>
        <w:jc w:val="both"/>
        <w:outlineLvl w:val="0"/>
        <w:rPr>
          <w:rFonts w:ascii="Arial" w:hAnsi="Arial" w:eastAsia="" w:cs="" w:cstheme="majorBidi" w:eastAsiaTheme="majorEastAsia"/>
          <w:b/>
          <w:sz w:val="24"/>
          <w:szCs w:val="32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spacing w:before="240" w:after="240"/>
        <w:jc w:val="both"/>
        <w:outlineLvl w:val="0"/>
        <w:rPr>
          <w:rFonts w:ascii="Arial" w:hAnsi="Arial" w:eastAsia="" w:cs="" w:cstheme="majorBidi" w:eastAsiaTheme="majorEastAsia"/>
          <w:b/>
          <w:sz w:val="24"/>
          <w:szCs w:val="32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20320" distL="111125" distR="130175" simplePos="0" locked="0" layoutInCell="0" allowOverlap="1" relativeHeight="3" wp14:anchorId="5453C24A">
                <wp:simplePos x="0" y="0"/>
                <wp:positionH relativeFrom="column">
                  <wp:posOffset>1330960</wp:posOffset>
                </wp:positionH>
                <wp:positionV relativeFrom="paragraph">
                  <wp:posOffset>-25400</wp:posOffset>
                </wp:positionV>
                <wp:extent cx="6229350" cy="1005840"/>
                <wp:effectExtent l="3175" t="3175" r="3175" b="3175"/>
                <wp:wrapSquare wrapText="bothSides"/>
                <wp:docPr id="2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44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ormation « Hygiène alimentaire en établissement de restauration commerciale »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Toc58836458"/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Scénario pédagogique : séquençage détaillé de l’action de formation</w:t>
                            </w:r>
                            <w:bookmarkEnd w:id="0"/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Arrêté du 12 février 2024 relatif au cahier des charges de la formation spécifique en matière d'hygiène alimentaire adaptée à l'activité des établissements de restauration commerciale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path="m0,0l-2147483645,0l-2147483645,-2147483646l0,-2147483646xe" stroked="t" o:allowincell="f" style="position:absolute;margin-left:104.8pt;margin-top:-2pt;width:490.45pt;height:79.15pt;mso-wrap-style:square;v-text-anchor:top" wp14:anchorId="5453C24A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  <w:t>ormation « Hygiène alimentaire en établissement de restauration commerciale »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id="1" w:name="_Toc58836458"/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  <w:t>Scénario pédagogique : séquençage détaillé de l’action de formation</w:t>
                      </w:r>
                      <w:bookmarkEnd w:id="1"/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Arrêté du 12 février 2024 relatif au cahier des charges de la formation spécifique en matière d'hygiène alimentaire adaptée à l'activité des établissements de restauration commerciale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Chaque séquence est d’une durée inférieure ou égale à 2 heures. </w:t>
      </w:r>
    </w:p>
    <w:tbl>
      <w:tblPr>
        <w:tblStyle w:val="Grilledutableau"/>
        <w:tblpPr w:vertAnchor="text" w:horzAnchor="margin" w:leftFromText="141" w:rightFromText="141" w:tblpX="0" w:tblpY="263"/>
        <w:tblW w:w="1399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1"/>
        <w:gridCol w:w="1096"/>
        <w:gridCol w:w="1510"/>
        <w:gridCol w:w="1627"/>
        <w:gridCol w:w="1775"/>
        <w:gridCol w:w="1477"/>
        <w:gridCol w:w="1550"/>
        <w:gridCol w:w="1415"/>
        <w:gridCol w:w="2706"/>
      </w:tblGrid>
      <w:tr>
        <w:trPr/>
        <w:tc>
          <w:tcPr>
            <w:tcW w:w="841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23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fr-FR" w:eastAsia="en-US" w:bidi="ar-SA"/>
              </w:rPr>
              <w:t>Contenus de formation</w:t>
            </w:r>
          </w:p>
        </w:tc>
        <w:tc>
          <w:tcPr>
            <w:tcW w:w="6217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fr-FR" w:eastAsia="en-US" w:bidi="ar-SA"/>
              </w:rPr>
              <w:t>Méthodes pédagogiques et moyens matériels</w:t>
            </w:r>
          </w:p>
        </w:tc>
        <w:tc>
          <w:tcPr>
            <w:tcW w:w="27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fr-FR" w:eastAsia="en-US" w:bidi="ar-SA"/>
              </w:rPr>
              <w:t>Jalons de fin de séquence</w:t>
            </w:r>
          </w:p>
        </w:tc>
      </w:tr>
      <w:tr>
        <w:trPr/>
        <w:tc>
          <w:tcPr>
            <w:tcW w:w="841" w:type="dxa"/>
            <w:tcBorders>
              <w:top w:val="nil"/>
              <w:lef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Durée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Points ou thématiques abordées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Activités pédagogiques à réaliser par le stagiaire (exemple : exercice, présentation de cas, travail personnel…)</w:t>
            </w:r>
          </w:p>
        </w:tc>
        <w:tc>
          <w:tcPr>
            <w:tcW w:w="17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Modalités pédagogiques (exemple : échanges, mise en situation, cas pratique, cours magistral, préparation du cours par le stagiaire…)</w:t>
            </w:r>
          </w:p>
        </w:tc>
        <w:tc>
          <w:tcPr>
            <w:tcW w:w="1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Séquence synchrone ou asynchrone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le cas échéant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Public présent (formateur, autres stagiaires, autonomie…) pour les séquence à distance</w:t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Outils utilisés (exemple : quizz, vidéo, documents à consulter…)</w:t>
            </w:r>
          </w:p>
        </w:tc>
        <w:tc>
          <w:tcPr>
            <w:tcW w:w="27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Outils d’évaluation utilisés le cas échéant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(exemple : quizz, exercice, questions orales…)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1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7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7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1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7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7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3</w:t>
            </w:r>
          </w:p>
        </w:tc>
        <w:tc>
          <w:tcPr>
            <w:tcW w:w="1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7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7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5</w:t>
            </w:r>
          </w:p>
        </w:tc>
        <w:tc>
          <w:tcPr>
            <w:tcW w:w="1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7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7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…</w:t>
            </w:r>
          </w:p>
        </w:tc>
        <w:tc>
          <w:tcPr>
            <w:tcW w:w="1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7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7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spacing w:before="0" w:after="160"/>
        <w:rPr>
          <w:rFonts w:ascii="Arial" w:hAnsi="Arial" w:cs="Arial"/>
        </w:rPr>
      </w:pPr>
      <w:r>
        <w:rPr/>
      </w:r>
      <w:bookmarkStart w:id="2" w:name="_GoBack"/>
      <w:bookmarkStart w:id="3" w:name="_GoBack"/>
      <w:bookmarkEnd w:id="3"/>
    </w:p>
    <w:sectPr>
      <w:type w:val="nextPage"/>
      <w:pgSz w:orient="landscape" w:w="16838" w:h="11906"/>
      <w:pgMar w:left="1417" w:right="1417" w:gutter="0" w:header="0" w:top="1417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002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LibreOffice/7.6.5.2$Windows_x86 LibreOffice_project/38d5f62f85355c192ef5f1dd47c5c0c0c6d6598b</Application>
  <AppVersion>15.0000</AppVersion>
  <Pages>1</Pages>
  <Words>151</Words>
  <Characters>919</Characters>
  <CharactersWithSpaces>1049</CharactersWithSpaces>
  <Paragraphs>22</Paragraphs>
  <Company>Ministère de l'Agriculture et de l'Alimentation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2024-03-28T14:07:00Z</dcterms:created>
  <dc:creator>francois.bauvineau</dc:creator>
  <dc:description/>
  <dc:language>fr-FR</dc:language>
  <cp:lastModifiedBy/>
  <dcterms:modified xsi:type="dcterms:W3CDTF">2024-04-17T14:06:25Z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